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89E" w:rsidRPr="0034689E" w:rsidRDefault="0034689E" w:rsidP="0034689E">
      <w:pPr>
        <w:widowControl/>
        <w:spacing w:line="600" w:lineRule="atLeast"/>
        <w:jc w:val="center"/>
        <w:outlineLvl w:val="0"/>
        <w:rPr>
          <w:rFonts w:ascii="微软雅黑" w:eastAsia="微软雅黑" w:hAnsi="微软雅黑" w:cs="宋体"/>
          <w:b/>
          <w:bCs/>
          <w:color w:val="333333"/>
          <w:kern w:val="36"/>
          <w:sz w:val="36"/>
          <w:szCs w:val="36"/>
        </w:rPr>
      </w:pPr>
      <w:r w:rsidRPr="0034689E">
        <w:rPr>
          <w:rFonts w:ascii="微软雅黑" w:eastAsia="微软雅黑" w:hAnsi="微软雅黑" w:cs="宋体" w:hint="eastAsia"/>
          <w:b/>
          <w:bCs/>
          <w:color w:val="333333"/>
          <w:kern w:val="36"/>
          <w:sz w:val="36"/>
          <w:szCs w:val="36"/>
        </w:rPr>
        <w:t>《工业控制系统信息安全防护能力评估工作管理办法》解读</w:t>
      </w:r>
    </w:p>
    <w:p w:rsidR="0034689E" w:rsidRPr="0034689E" w:rsidRDefault="0034689E" w:rsidP="0034689E">
      <w:pPr>
        <w:widowControl/>
        <w:spacing w:line="900" w:lineRule="atLeast"/>
        <w:jc w:val="center"/>
        <w:rPr>
          <w:rFonts w:ascii="微软雅黑" w:eastAsia="微软雅黑" w:hAnsi="微软雅黑" w:cs="宋体" w:hint="eastAsia"/>
          <w:color w:val="999999"/>
          <w:kern w:val="0"/>
          <w:sz w:val="18"/>
          <w:szCs w:val="18"/>
        </w:rPr>
      </w:pPr>
      <w:r w:rsidRPr="0034689E">
        <w:rPr>
          <w:rFonts w:ascii="微软雅黑" w:eastAsia="微软雅黑" w:hAnsi="微软雅黑" w:cs="宋体" w:hint="eastAsia"/>
          <w:color w:val="999999"/>
          <w:kern w:val="0"/>
          <w:sz w:val="18"/>
          <w:szCs w:val="18"/>
        </w:rPr>
        <w:t>发布时间：2017-08-11  来源：信息化和软件服务业司  </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color w:val="070707"/>
          <w:kern w:val="0"/>
          <w:szCs w:val="21"/>
        </w:rPr>
        <w:t>为进一步贯彻落实《国务院关于深化制造业与互联网融合发展的指导意见》，督促工业企业做好工业控制系统信息安全（以下简称工控安全）防护工作，工业和信息化部于近日印发了《工业控制系统信息安全防护能力评估工作管理办法》（以下简称《管理办法》），旨在规范工控安全防护能力评估工作，切实提升工控安全防护水平。</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color w:val="070707"/>
          <w:kern w:val="0"/>
          <w:szCs w:val="21"/>
        </w:rPr>
        <w:t xml:space="preserve">　　</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b/>
          <w:bCs/>
          <w:color w:val="070707"/>
          <w:kern w:val="0"/>
          <w:szCs w:val="21"/>
        </w:rPr>
        <w:t>一、编制说明</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color w:val="070707"/>
          <w:kern w:val="0"/>
          <w:szCs w:val="21"/>
        </w:rPr>
        <w:t xml:space="preserve">　　</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color w:val="070707"/>
          <w:kern w:val="0"/>
          <w:szCs w:val="21"/>
        </w:rPr>
        <w:t>近年来，随着两化融合发展的不断深入，安全威胁向工业控制系统加速渗透，工业领域面临严峻的信息安全挑战。我部于去年发布了《工业控制系统信息安全防护指南》（以下简称《防护指南》），从配置和补丁管理、边界安全防护、安全监测和应急预案演练等方面，对工业企业提出了</w:t>
      </w:r>
      <w:r w:rsidRPr="0034689E">
        <w:rPr>
          <w:rFonts w:ascii="Times New Roman" w:eastAsia="宋体" w:hAnsi="Times New Roman" w:cs="Times New Roman"/>
          <w:color w:val="070707"/>
          <w:kern w:val="0"/>
          <w:szCs w:val="21"/>
        </w:rPr>
        <w:t>30</w:t>
      </w:r>
      <w:r w:rsidRPr="0034689E">
        <w:rPr>
          <w:rFonts w:ascii="宋体" w:eastAsia="宋体" w:hAnsi="宋体" w:cs="宋体" w:hint="eastAsia"/>
          <w:color w:val="070707"/>
          <w:kern w:val="0"/>
          <w:szCs w:val="21"/>
        </w:rPr>
        <w:t>项工控安全防护要求。为检验《防护指南》的实践效果，综合评价工业企业工控安全防护能力，我部于年初组织编制了《管理办法（初稿）》，并选择电力、化工、汽车、有色、石化、烟草</w:t>
      </w:r>
      <w:r w:rsidRPr="0034689E">
        <w:rPr>
          <w:rFonts w:ascii="Times New Roman" w:eastAsia="宋体" w:hAnsi="Times New Roman" w:cs="Times New Roman"/>
          <w:color w:val="070707"/>
          <w:kern w:val="0"/>
          <w:szCs w:val="21"/>
        </w:rPr>
        <w:t>6</w:t>
      </w:r>
      <w:r w:rsidRPr="0034689E">
        <w:rPr>
          <w:rFonts w:ascii="宋体" w:eastAsia="宋体" w:hAnsi="宋体" w:cs="宋体" w:hint="eastAsia"/>
          <w:color w:val="070707"/>
          <w:kern w:val="0"/>
          <w:szCs w:val="21"/>
        </w:rPr>
        <w:t>个重点行业开展了工控安全预评估工作，对《管理办法（初稿）》的科学性、合理性和可操作性进行检验，结合工控安全预评估工作，进一步对《管理办法（初稿）》进行修改完善，组织专家开展专题研讨论证，最终形成《管理办法》。</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color w:val="070707"/>
          <w:kern w:val="0"/>
          <w:szCs w:val="21"/>
        </w:rPr>
        <w:t xml:space="preserve">　　</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b/>
          <w:bCs/>
          <w:color w:val="070707"/>
          <w:kern w:val="0"/>
          <w:szCs w:val="21"/>
        </w:rPr>
        <w:t>二、总体考虑</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color w:val="070707"/>
          <w:kern w:val="0"/>
          <w:szCs w:val="21"/>
        </w:rPr>
        <w:t xml:space="preserve">　　</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color w:val="070707"/>
          <w:kern w:val="0"/>
          <w:szCs w:val="21"/>
        </w:rPr>
        <w:t>《管理办法》的编制以我国两化融合发展时期工控安全保障需求和工控安全防护工作推进为出发点和落脚点，密切结合工控安全防护能力评估工作实际，以规范针对工业企业开展的工控安全防护能力评估活动为重点，加强工控安全防护能力评估机构、人员和工具管理，明确工控安全防护能力评估工作程序。具体来说，《管理办法》编制的主要思路如下：</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color w:val="070707"/>
          <w:kern w:val="0"/>
          <w:szCs w:val="21"/>
        </w:rPr>
        <w:t xml:space="preserve">　　</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b/>
          <w:bCs/>
          <w:color w:val="070707"/>
          <w:kern w:val="0"/>
          <w:szCs w:val="21"/>
        </w:rPr>
        <w:t>一是突出体系化管理。</w:t>
      </w:r>
      <w:r w:rsidRPr="0034689E">
        <w:rPr>
          <w:rFonts w:ascii="宋体" w:eastAsia="宋体" w:hAnsi="宋体" w:cs="宋体" w:hint="eastAsia"/>
          <w:color w:val="070707"/>
          <w:kern w:val="0"/>
          <w:szCs w:val="21"/>
        </w:rPr>
        <w:t>工控安全防护能力评估工作管理涉及管理机构、评估机构、评估人员、评估工具等各要素，《管理办法》从全局出发，面向各类主体，围绕工作需求提出基线标准，加强体系化管理。</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color w:val="070707"/>
          <w:kern w:val="0"/>
          <w:szCs w:val="21"/>
        </w:rPr>
        <w:t xml:space="preserve">　　</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b/>
          <w:bCs/>
          <w:color w:val="070707"/>
          <w:kern w:val="0"/>
          <w:szCs w:val="21"/>
        </w:rPr>
        <w:lastRenderedPageBreak/>
        <w:t>二是注重管理实效。</w:t>
      </w:r>
      <w:r w:rsidRPr="0034689E">
        <w:rPr>
          <w:rFonts w:ascii="宋体" w:eastAsia="宋体" w:hAnsi="宋体" w:cs="宋体" w:hint="eastAsia"/>
          <w:color w:val="070707"/>
          <w:kern w:val="0"/>
          <w:szCs w:val="21"/>
        </w:rPr>
        <w:t>《办法》细化各类基线标准，明确量化指标，提出从受理评估申请、组建评估技术队伍到形成评估报告的一系列评估工作程序，提供具体且可操作的工控安全防护能力评估方法。</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color w:val="070707"/>
          <w:kern w:val="0"/>
          <w:szCs w:val="21"/>
        </w:rPr>
        <w:t xml:space="preserve">　　</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b/>
          <w:bCs/>
          <w:color w:val="070707"/>
          <w:kern w:val="0"/>
          <w:szCs w:val="21"/>
        </w:rPr>
        <w:t>三是强调全生命周期评估。</w:t>
      </w:r>
      <w:r w:rsidRPr="0034689E">
        <w:rPr>
          <w:rFonts w:ascii="宋体" w:eastAsia="宋体" w:hAnsi="宋体" w:cs="宋体" w:hint="eastAsia"/>
          <w:color w:val="070707"/>
          <w:kern w:val="0"/>
          <w:szCs w:val="21"/>
        </w:rPr>
        <w:t>工控安全防护能力评估是落实《防护指南》要求的一项具体工作，《管理办法》指出防护能力评估是对工业企业工业控制系统规划、设计、建设、运行、维护等全生命周期各阶段开展的安全防护能力综合评价。</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color w:val="070707"/>
          <w:kern w:val="0"/>
          <w:szCs w:val="21"/>
        </w:rPr>
        <w:t xml:space="preserve">　　</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b/>
          <w:bCs/>
          <w:color w:val="070707"/>
          <w:kern w:val="0"/>
          <w:szCs w:val="21"/>
        </w:rPr>
        <w:t>三、内容详解</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color w:val="070707"/>
          <w:kern w:val="0"/>
          <w:szCs w:val="21"/>
        </w:rPr>
        <w:t xml:space="preserve">　　</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color w:val="070707"/>
          <w:kern w:val="0"/>
          <w:szCs w:val="21"/>
        </w:rPr>
        <w:t>（一）管理组织机构设置</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color w:val="070707"/>
          <w:kern w:val="0"/>
          <w:szCs w:val="21"/>
        </w:rPr>
        <w:t xml:space="preserve">　　</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color w:val="070707"/>
          <w:kern w:val="0"/>
          <w:szCs w:val="21"/>
        </w:rPr>
        <w:t>管理组织机构是工控安全防护能力评估工作的核心。《管理办法》指出设立全国工控安全防护能力评估专家委员会，负责提供建议与咨询；设立全国工控安全防护能力评估工作组，具体负责管理工</w:t>
      </w:r>
      <w:proofErr w:type="gramStart"/>
      <w:r w:rsidRPr="0034689E">
        <w:rPr>
          <w:rFonts w:ascii="宋体" w:eastAsia="宋体" w:hAnsi="宋体" w:cs="宋体" w:hint="eastAsia"/>
          <w:color w:val="070707"/>
          <w:kern w:val="0"/>
          <w:szCs w:val="21"/>
        </w:rPr>
        <w:t>控安全</w:t>
      </w:r>
      <w:proofErr w:type="gramEnd"/>
      <w:r w:rsidRPr="0034689E">
        <w:rPr>
          <w:rFonts w:ascii="宋体" w:eastAsia="宋体" w:hAnsi="宋体" w:cs="宋体" w:hint="eastAsia"/>
          <w:color w:val="070707"/>
          <w:kern w:val="0"/>
          <w:szCs w:val="21"/>
        </w:rPr>
        <w:t>防护能力评估相关工作，工作组下设秘书处，秘书处设在国家工业信息</w:t>
      </w:r>
      <w:proofErr w:type="gramStart"/>
      <w:r w:rsidRPr="0034689E">
        <w:rPr>
          <w:rFonts w:ascii="宋体" w:eastAsia="宋体" w:hAnsi="宋体" w:cs="宋体" w:hint="eastAsia"/>
          <w:color w:val="070707"/>
          <w:kern w:val="0"/>
          <w:szCs w:val="21"/>
        </w:rPr>
        <w:t>安全发展</w:t>
      </w:r>
      <w:proofErr w:type="gramEnd"/>
      <w:r w:rsidRPr="0034689E">
        <w:rPr>
          <w:rFonts w:ascii="宋体" w:eastAsia="宋体" w:hAnsi="宋体" w:cs="宋体" w:hint="eastAsia"/>
          <w:color w:val="070707"/>
          <w:kern w:val="0"/>
          <w:szCs w:val="21"/>
        </w:rPr>
        <w:t>研究中心。</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color w:val="070707"/>
          <w:kern w:val="0"/>
          <w:szCs w:val="21"/>
        </w:rPr>
        <w:t xml:space="preserve">　　</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color w:val="070707"/>
          <w:kern w:val="0"/>
          <w:szCs w:val="21"/>
        </w:rPr>
        <w:t>（二）基本要求</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color w:val="070707"/>
          <w:kern w:val="0"/>
          <w:szCs w:val="21"/>
        </w:rPr>
        <w:t xml:space="preserve">　　</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color w:val="070707"/>
          <w:kern w:val="0"/>
          <w:szCs w:val="21"/>
        </w:rPr>
        <w:t>评估机构应符合具备独立的事业单位法人资格，具有不少于</w:t>
      </w:r>
      <w:r w:rsidRPr="0034689E">
        <w:rPr>
          <w:rFonts w:ascii="Times New Roman" w:eastAsia="宋体" w:hAnsi="Times New Roman" w:cs="Times New Roman"/>
          <w:color w:val="070707"/>
          <w:kern w:val="0"/>
          <w:szCs w:val="21"/>
        </w:rPr>
        <w:t>25</w:t>
      </w:r>
      <w:r w:rsidRPr="0034689E">
        <w:rPr>
          <w:rFonts w:ascii="宋体" w:eastAsia="宋体" w:hAnsi="宋体" w:cs="宋体" w:hint="eastAsia"/>
          <w:color w:val="070707"/>
          <w:kern w:val="0"/>
          <w:szCs w:val="21"/>
        </w:rPr>
        <w:t>名工控安全防护能力评估专职人员，拥有工控安全防护能力评估所需的工具和设备，同时，还应建立并有效运行评估工作体系，完善评估监督和责任机制，对于不符合要求的机构，予以撤销评估委托。</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color w:val="070707"/>
          <w:kern w:val="0"/>
          <w:szCs w:val="21"/>
        </w:rPr>
        <w:t xml:space="preserve">　　</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color w:val="070707"/>
          <w:kern w:val="0"/>
          <w:szCs w:val="21"/>
        </w:rPr>
        <w:t>评估人员须遵守相关的法律、法规和规章，按照所在评估机构确定的工作程序和作业指导从事评估活动，并遵守保密规定。</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color w:val="070707"/>
          <w:kern w:val="0"/>
          <w:szCs w:val="21"/>
        </w:rPr>
        <w:t xml:space="preserve">　　</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color w:val="070707"/>
          <w:kern w:val="0"/>
          <w:szCs w:val="21"/>
        </w:rPr>
        <w:t>评估过程中使用的工具应符合相关可靠性和安全性要求，需通过评估工作组委托的国家级质检机构的检测和校验。</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color w:val="070707"/>
          <w:kern w:val="0"/>
          <w:szCs w:val="21"/>
        </w:rPr>
        <w:t xml:space="preserve">　　</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color w:val="070707"/>
          <w:kern w:val="0"/>
          <w:szCs w:val="21"/>
        </w:rPr>
        <w:t>（三）工作程序</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color w:val="070707"/>
          <w:kern w:val="0"/>
          <w:szCs w:val="21"/>
        </w:rPr>
        <w:t xml:space="preserve">　　</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color w:val="070707"/>
          <w:kern w:val="0"/>
          <w:szCs w:val="21"/>
        </w:rPr>
        <w:t>《管理办法》制定了工控安全防护能力评估工作程序，包括受理评估申请、组建评估技术队伍、制定评估工作计划、开展现场评估工作、现场评估情况反馈、企业自行整改、开展复评估工作、形成评估报告，细化了各阶段工作要求。</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color w:val="070707"/>
          <w:kern w:val="0"/>
          <w:szCs w:val="21"/>
        </w:rPr>
        <w:lastRenderedPageBreak/>
        <w:t xml:space="preserve">　　</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color w:val="070707"/>
          <w:kern w:val="0"/>
          <w:szCs w:val="21"/>
        </w:rPr>
        <w:t>（四）监督管理</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color w:val="070707"/>
          <w:kern w:val="0"/>
          <w:szCs w:val="21"/>
        </w:rPr>
        <w:t xml:space="preserve">　　</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color w:val="070707"/>
          <w:kern w:val="0"/>
          <w:szCs w:val="21"/>
        </w:rPr>
        <w:t>为保证工控安全防护能力评估工作顺利开展，评估工作组通过公示、抽查、复核等方式对评估机构、人员进行监督管理，确保评估报告的准确性和合理性。</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color w:val="070707"/>
          <w:kern w:val="0"/>
          <w:szCs w:val="21"/>
        </w:rPr>
        <w:t xml:space="preserve">　　</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color w:val="070707"/>
          <w:kern w:val="0"/>
          <w:szCs w:val="21"/>
        </w:rPr>
        <w:t>（五）评估方法</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color w:val="070707"/>
          <w:kern w:val="0"/>
          <w:szCs w:val="21"/>
        </w:rPr>
        <w:t xml:space="preserve">　　</w:t>
      </w:r>
    </w:p>
    <w:p w:rsidR="0034689E" w:rsidRPr="0034689E" w:rsidRDefault="0034689E" w:rsidP="0034689E">
      <w:pPr>
        <w:widowControl/>
        <w:spacing w:line="390" w:lineRule="atLeast"/>
        <w:ind w:firstLine="480"/>
        <w:jc w:val="left"/>
        <w:rPr>
          <w:rFonts w:ascii="宋体" w:eastAsia="宋体" w:hAnsi="宋体" w:cs="宋体" w:hint="eastAsia"/>
          <w:color w:val="070707"/>
          <w:kern w:val="0"/>
          <w:szCs w:val="21"/>
        </w:rPr>
      </w:pPr>
      <w:r w:rsidRPr="0034689E">
        <w:rPr>
          <w:rFonts w:ascii="宋体" w:eastAsia="宋体" w:hAnsi="宋体" w:cs="宋体" w:hint="eastAsia"/>
          <w:color w:val="070707"/>
          <w:kern w:val="0"/>
          <w:szCs w:val="21"/>
        </w:rPr>
        <w:t>为配套《管理办法》的实施，以附件形式提供了工控安全防护能力评估方法，提出了工控安全防护能力评估的基本概念，对评估工作每一个环节进行细化，提出详细的工作步骤和实施方法。</w:t>
      </w:r>
    </w:p>
    <w:p w:rsidR="00A80A25" w:rsidRPr="0034689E" w:rsidRDefault="00A80A25" w:rsidP="0034689E">
      <w:bookmarkStart w:id="0" w:name="_GoBack"/>
      <w:bookmarkEnd w:id="0"/>
    </w:p>
    <w:sectPr w:rsidR="00A80A25" w:rsidRPr="003468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9E"/>
    <w:rsid w:val="0034689E"/>
    <w:rsid w:val="00A80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6AAEB-360A-4552-BC3B-CEDB9EA2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34689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4689E"/>
    <w:rPr>
      <w:rFonts w:ascii="宋体" w:eastAsia="宋体" w:hAnsi="宋体" w:cs="宋体"/>
      <w:b/>
      <w:bCs/>
      <w:kern w:val="36"/>
      <w:sz w:val="48"/>
      <w:szCs w:val="48"/>
    </w:rPr>
  </w:style>
  <w:style w:type="paragraph" w:styleId="a3">
    <w:name w:val="Normal (Web)"/>
    <w:basedOn w:val="a"/>
    <w:uiPriority w:val="99"/>
    <w:semiHidden/>
    <w:unhideWhenUsed/>
    <w:rsid w:val="0034689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468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597224">
      <w:bodyDiv w:val="1"/>
      <w:marLeft w:val="0"/>
      <w:marRight w:val="0"/>
      <w:marTop w:val="0"/>
      <w:marBottom w:val="0"/>
      <w:divBdr>
        <w:top w:val="none" w:sz="0" w:space="0" w:color="auto"/>
        <w:left w:val="none" w:sz="0" w:space="0" w:color="auto"/>
        <w:bottom w:val="none" w:sz="0" w:space="0" w:color="auto"/>
        <w:right w:val="none" w:sz="0" w:space="0" w:color="auto"/>
      </w:divBdr>
      <w:divsChild>
        <w:div w:id="1427920032">
          <w:marLeft w:val="0"/>
          <w:marRight w:val="0"/>
          <w:marTop w:val="0"/>
          <w:marBottom w:val="0"/>
          <w:divBdr>
            <w:top w:val="none" w:sz="0" w:space="0" w:color="auto"/>
            <w:left w:val="none" w:sz="0" w:space="0" w:color="auto"/>
            <w:bottom w:val="single" w:sz="6" w:space="0" w:color="D9D9D9"/>
            <w:right w:val="none" w:sz="0" w:space="0" w:color="auto"/>
          </w:divBdr>
        </w:div>
        <w:div w:id="40156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2017-08-11T22:15:00Z</dcterms:created>
  <dcterms:modified xsi:type="dcterms:W3CDTF">2017-08-11T22:15:00Z</dcterms:modified>
</cp:coreProperties>
</file>